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425"/>
        <w:gridCol w:w="6925"/>
      </w:tblGrid>
      <w:tr w:rsidR="00A773E3" w14:paraId="350F1341" w14:textId="77777777" w:rsidTr="00A773E3">
        <w:tc>
          <w:tcPr>
            <w:tcW w:w="2425" w:type="dxa"/>
            <w:shd w:val="clear" w:color="auto" w:fill="E7E6E6" w:themeFill="background2"/>
          </w:tcPr>
          <w:p w14:paraId="659D907D" w14:textId="76C6DC79" w:rsidR="00A773E3" w:rsidRDefault="00A773E3" w:rsidP="00A773E3">
            <w:pPr>
              <w:tabs>
                <w:tab w:val="center" w:pos="4680"/>
              </w:tabs>
              <w:jc w:val="center"/>
              <w:rPr>
                <w:b/>
              </w:rPr>
            </w:pPr>
            <w:bookmarkStart w:id="0" w:name="_GoBack"/>
            <w:bookmarkEnd w:id="0"/>
            <w:r>
              <w:rPr>
                <w:b/>
              </w:rPr>
              <w:t>Presentation</w:t>
            </w:r>
          </w:p>
        </w:tc>
        <w:tc>
          <w:tcPr>
            <w:tcW w:w="6925" w:type="dxa"/>
            <w:shd w:val="clear" w:color="auto" w:fill="E7E6E6" w:themeFill="background2"/>
          </w:tcPr>
          <w:p w14:paraId="68BCFBA7" w14:textId="15773BA9" w:rsidR="00A773E3" w:rsidRDefault="00A773E3" w:rsidP="00A773E3">
            <w:pPr>
              <w:tabs>
                <w:tab w:val="center" w:pos="4680"/>
              </w:tabs>
              <w:jc w:val="center"/>
              <w:rPr>
                <w:b/>
              </w:rPr>
            </w:pPr>
            <w:r>
              <w:rPr>
                <w:b/>
              </w:rPr>
              <w:t>Topic and Description</w:t>
            </w:r>
          </w:p>
        </w:tc>
      </w:tr>
      <w:tr w:rsidR="00A773E3" w14:paraId="28A3C347" w14:textId="77777777" w:rsidTr="00A773E3">
        <w:tc>
          <w:tcPr>
            <w:tcW w:w="2425" w:type="dxa"/>
          </w:tcPr>
          <w:p w14:paraId="1E62796F" w14:textId="384C8E6E" w:rsidR="00A773E3" w:rsidRPr="00A773E3" w:rsidRDefault="00A773E3" w:rsidP="00A773E3">
            <w:pPr>
              <w:tabs>
                <w:tab w:val="center" w:pos="4680"/>
              </w:tabs>
              <w:jc w:val="center"/>
              <w:rPr>
                <w:bCs/>
              </w:rPr>
            </w:pPr>
            <w:r w:rsidRPr="00A773E3">
              <w:rPr>
                <w:bCs/>
              </w:rPr>
              <w:t>1</w:t>
            </w:r>
          </w:p>
        </w:tc>
        <w:tc>
          <w:tcPr>
            <w:tcW w:w="6925" w:type="dxa"/>
          </w:tcPr>
          <w:p w14:paraId="2A593D3D" w14:textId="46BDAABB" w:rsidR="00A773E3" w:rsidRDefault="00A773E3" w:rsidP="00A773E3">
            <w:pPr>
              <w:jc w:val="center"/>
            </w:pPr>
            <w:r w:rsidRPr="00A773E3">
              <w:rPr>
                <w:b/>
                <w:bCs/>
              </w:rPr>
              <w:t>Estate &amp; Trust Income Tax Planning: Trips, Traps, and Opportunities</w:t>
            </w:r>
          </w:p>
          <w:p w14:paraId="59EF2725" w14:textId="77777777" w:rsidR="00A773E3" w:rsidRDefault="00A773E3" w:rsidP="00A773E3">
            <w:pPr>
              <w:jc w:val="center"/>
            </w:pPr>
          </w:p>
          <w:p w14:paraId="637A212D" w14:textId="39B01CF7" w:rsidR="00A773E3" w:rsidRPr="00A773E3" w:rsidRDefault="00A773E3" w:rsidP="00A773E3">
            <w:pPr>
              <w:jc w:val="both"/>
              <w:rPr>
                <w:sz w:val="22"/>
                <w:szCs w:val="22"/>
              </w:rPr>
            </w:pPr>
            <w:r w:rsidRPr="00A773E3">
              <w:t xml:space="preserve">Traditionally, the primary tax focus of estate planning has been in the minimization of transfer tax costs. With </w:t>
            </w:r>
            <w:r>
              <w:t>an estate and trust reaching the highest income tax rate at income above $1</w:t>
            </w:r>
            <w:r w:rsidR="000951A3">
              <w:t>3,050</w:t>
            </w:r>
            <w:r>
              <w:t xml:space="preserve"> in 202</w:t>
            </w:r>
            <w:r w:rsidR="000951A3">
              <w:t>1</w:t>
            </w:r>
            <w:r>
              <w:t xml:space="preserve">, income tax planning for estates and trusts </w:t>
            </w:r>
            <w:r w:rsidR="00CE3951">
              <w:t>is more important than ever</w:t>
            </w:r>
            <w:r w:rsidRPr="00A773E3">
              <w:t>.</w:t>
            </w:r>
            <w:r>
              <w:t xml:space="preserve"> </w:t>
            </w:r>
            <w:r w:rsidRPr="00A773E3">
              <w:t xml:space="preserve">This presentation will discuss </w:t>
            </w:r>
            <w:r>
              <w:t>a potpourri of</w:t>
            </w:r>
            <w:r w:rsidRPr="00A773E3">
              <w:t xml:space="preserve"> tax planning opportunities and traps </w:t>
            </w:r>
            <w:r w:rsidR="008A3E7E">
              <w:t>for tax and financial advisors.</w:t>
            </w:r>
          </w:p>
          <w:p w14:paraId="42D9627A" w14:textId="77777777" w:rsidR="00A773E3" w:rsidRDefault="00A773E3" w:rsidP="00A773E3">
            <w:pPr>
              <w:tabs>
                <w:tab w:val="center" w:pos="4680"/>
              </w:tabs>
              <w:rPr>
                <w:b/>
              </w:rPr>
            </w:pPr>
          </w:p>
        </w:tc>
      </w:tr>
      <w:tr w:rsidR="00A773E3" w14:paraId="477CB3AA" w14:textId="77777777" w:rsidTr="00A773E3">
        <w:tc>
          <w:tcPr>
            <w:tcW w:w="2425" w:type="dxa"/>
          </w:tcPr>
          <w:p w14:paraId="2D875648" w14:textId="49CE1D82" w:rsidR="00A773E3" w:rsidRPr="00A773E3" w:rsidRDefault="00A773E3" w:rsidP="00A773E3">
            <w:pPr>
              <w:tabs>
                <w:tab w:val="center" w:pos="4680"/>
              </w:tabs>
              <w:jc w:val="center"/>
              <w:rPr>
                <w:bCs/>
              </w:rPr>
            </w:pPr>
            <w:r w:rsidRPr="00A773E3">
              <w:rPr>
                <w:bCs/>
              </w:rPr>
              <w:t>2</w:t>
            </w:r>
          </w:p>
        </w:tc>
        <w:tc>
          <w:tcPr>
            <w:tcW w:w="6925" w:type="dxa"/>
          </w:tcPr>
          <w:p w14:paraId="73BFE7EC" w14:textId="75316B04" w:rsidR="00A773E3" w:rsidRDefault="00A773E3" w:rsidP="00CE3951">
            <w:pPr>
              <w:tabs>
                <w:tab w:val="center" w:pos="4680"/>
              </w:tabs>
              <w:jc w:val="center"/>
              <w:rPr>
                <w:b/>
              </w:rPr>
            </w:pPr>
            <w:r>
              <w:rPr>
                <w:b/>
              </w:rPr>
              <w:t>Business Succession Planning: Why the Family Business Fails</w:t>
            </w:r>
          </w:p>
          <w:p w14:paraId="03E35C90" w14:textId="4462A733" w:rsidR="00A773E3" w:rsidRDefault="00A773E3" w:rsidP="00A773E3">
            <w:pPr>
              <w:tabs>
                <w:tab w:val="center" w:pos="4680"/>
              </w:tabs>
              <w:rPr>
                <w:b/>
              </w:rPr>
            </w:pPr>
          </w:p>
          <w:p w14:paraId="17B533C9" w14:textId="09F0CEC1" w:rsidR="00A773E3" w:rsidRPr="00A773E3" w:rsidRDefault="00CE3951" w:rsidP="008A3E7E">
            <w:pPr>
              <w:tabs>
                <w:tab w:val="center" w:pos="4680"/>
              </w:tabs>
              <w:jc w:val="both"/>
              <w:rPr>
                <w:bCs/>
              </w:rPr>
            </w:pPr>
            <w:r>
              <w:rPr>
                <w:bCs/>
              </w:rPr>
              <w:t>With an estimated 12% of family businesses surviving to the 3</w:t>
            </w:r>
            <w:r w:rsidRPr="00CE3951">
              <w:rPr>
                <w:bCs/>
                <w:vertAlign w:val="superscript"/>
              </w:rPr>
              <w:t>rd</w:t>
            </w:r>
            <w:r>
              <w:rPr>
                <w:bCs/>
              </w:rPr>
              <w:t xml:space="preserve"> generation, the passage of the family business from one generation to the next is an uphill battle. From </w:t>
            </w:r>
            <w:r w:rsidR="00A773E3">
              <w:rPr>
                <w:bCs/>
              </w:rPr>
              <w:t xml:space="preserve">taxes to family conflict to </w:t>
            </w:r>
            <w:r>
              <w:rPr>
                <w:bCs/>
              </w:rPr>
              <w:t>divorce to</w:t>
            </w:r>
            <w:r w:rsidR="00A773E3">
              <w:rPr>
                <w:bCs/>
              </w:rPr>
              <w:t xml:space="preserve"> poor governance, </w:t>
            </w:r>
            <w:r>
              <w:rPr>
                <w:bCs/>
              </w:rPr>
              <w:t xml:space="preserve">this presentation will discuss the minefield of issues facing the family business and a number of potential solutions to increase the odds of survival. </w:t>
            </w:r>
          </w:p>
          <w:p w14:paraId="111898E7" w14:textId="77777777" w:rsidR="00A773E3" w:rsidRDefault="00A773E3" w:rsidP="00A773E3">
            <w:pPr>
              <w:tabs>
                <w:tab w:val="center" w:pos="4680"/>
              </w:tabs>
              <w:rPr>
                <w:b/>
              </w:rPr>
            </w:pPr>
          </w:p>
          <w:p w14:paraId="3C05D9AE" w14:textId="2431445E" w:rsidR="00A773E3" w:rsidRPr="00A773E3" w:rsidRDefault="00A773E3" w:rsidP="00A773E3">
            <w:pPr>
              <w:tabs>
                <w:tab w:val="center" w:pos="4680"/>
              </w:tabs>
              <w:rPr>
                <w:b/>
              </w:rPr>
            </w:pPr>
          </w:p>
        </w:tc>
      </w:tr>
      <w:tr w:rsidR="00A773E3" w14:paraId="46B206EC" w14:textId="77777777" w:rsidTr="00A773E3">
        <w:tc>
          <w:tcPr>
            <w:tcW w:w="2425" w:type="dxa"/>
          </w:tcPr>
          <w:p w14:paraId="1605573A" w14:textId="034EE783" w:rsidR="00A773E3" w:rsidRPr="00A773E3" w:rsidRDefault="00A773E3" w:rsidP="00A773E3">
            <w:pPr>
              <w:tabs>
                <w:tab w:val="center" w:pos="4680"/>
              </w:tabs>
              <w:jc w:val="center"/>
              <w:rPr>
                <w:bCs/>
              </w:rPr>
            </w:pPr>
            <w:r w:rsidRPr="00A773E3">
              <w:rPr>
                <w:bCs/>
              </w:rPr>
              <w:t>3</w:t>
            </w:r>
          </w:p>
        </w:tc>
        <w:tc>
          <w:tcPr>
            <w:tcW w:w="6925" w:type="dxa"/>
          </w:tcPr>
          <w:p w14:paraId="5F8A1581" w14:textId="77777777" w:rsidR="00A773E3" w:rsidRDefault="00CE3951" w:rsidP="008A3E7E">
            <w:pPr>
              <w:tabs>
                <w:tab w:val="center" w:pos="4680"/>
              </w:tabs>
              <w:jc w:val="center"/>
              <w:rPr>
                <w:b/>
              </w:rPr>
            </w:pPr>
            <w:r>
              <w:rPr>
                <w:b/>
              </w:rPr>
              <w:t>Tax Basis Planning: Traps and Opportunities</w:t>
            </w:r>
          </w:p>
          <w:p w14:paraId="6101AB3C" w14:textId="77777777" w:rsidR="00CE3951" w:rsidRDefault="00CE3951" w:rsidP="00A773E3">
            <w:pPr>
              <w:tabs>
                <w:tab w:val="center" w:pos="4680"/>
              </w:tabs>
              <w:rPr>
                <w:b/>
              </w:rPr>
            </w:pPr>
          </w:p>
          <w:p w14:paraId="4A9B5A8E" w14:textId="77777777" w:rsidR="00CE3951" w:rsidRDefault="008A3E7E" w:rsidP="008A3E7E">
            <w:pPr>
              <w:tabs>
                <w:tab w:val="center" w:pos="4680"/>
              </w:tabs>
              <w:jc w:val="both"/>
              <w:rPr>
                <w:bCs/>
              </w:rPr>
            </w:pPr>
            <w:r>
              <w:rPr>
                <w:bCs/>
              </w:rPr>
              <w:t xml:space="preserve">With an estimated 1 out of 1,000 estates expected to owe an estate tax in 2021, income tax planning will trump estate tax planning for the majority of our clients. From unwinding prior gifts to exercising a power of substitution to positioning assets for an optimal step-up, this presentation </w:t>
            </w:r>
            <w:r w:rsidRPr="00A773E3">
              <w:t xml:space="preserve">will discuss </w:t>
            </w:r>
            <w:r>
              <w:t>a potpourri of</w:t>
            </w:r>
            <w:r w:rsidRPr="00A773E3">
              <w:t xml:space="preserve"> tax planning opportunities and traps </w:t>
            </w:r>
            <w:r>
              <w:t>for tax and financial advisors.</w:t>
            </w:r>
            <w:r>
              <w:rPr>
                <w:bCs/>
              </w:rPr>
              <w:t xml:space="preserve">   </w:t>
            </w:r>
          </w:p>
          <w:p w14:paraId="65F01712" w14:textId="3D85A1C2" w:rsidR="0067124D" w:rsidRPr="00CE3951" w:rsidRDefault="0067124D" w:rsidP="008A3E7E">
            <w:pPr>
              <w:tabs>
                <w:tab w:val="center" w:pos="4680"/>
              </w:tabs>
              <w:jc w:val="both"/>
              <w:rPr>
                <w:bCs/>
              </w:rPr>
            </w:pPr>
          </w:p>
        </w:tc>
      </w:tr>
      <w:tr w:rsidR="000951A3" w14:paraId="0B6FBD60" w14:textId="77777777" w:rsidTr="00A773E3">
        <w:tc>
          <w:tcPr>
            <w:tcW w:w="2425" w:type="dxa"/>
          </w:tcPr>
          <w:p w14:paraId="3AACBED8" w14:textId="58C0D095" w:rsidR="000951A3" w:rsidRPr="00A773E3" w:rsidRDefault="000951A3" w:rsidP="00A773E3">
            <w:pPr>
              <w:tabs>
                <w:tab w:val="center" w:pos="4680"/>
              </w:tabs>
              <w:jc w:val="center"/>
              <w:rPr>
                <w:bCs/>
              </w:rPr>
            </w:pPr>
            <w:r>
              <w:rPr>
                <w:bCs/>
              </w:rPr>
              <w:t>4</w:t>
            </w:r>
          </w:p>
        </w:tc>
        <w:tc>
          <w:tcPr>
            <w:tcW w:w="6925" w:type="dxa"/>
          </w:tcPr>
          <w:p w14:paraId="367EC44A" w14:textId="77777777" w:rsidR="000951A3" w:rsidRDefault="000951A3" w:rsidP="008A3E7E">
            <w:pPr>
              <w:tabs>
                <w:tab w:val="center" w:pos="4680"/>
              </w:tabs>
              <w:jc w:val="center"/>
              <w:rPr>
                <w:b/>
              </w:rPr>
            </w:pPr>
            <w:r>
              <w:rPr>
                <w:b/>
              </w:rPr>
              <w:t>Tax Reform: Practical Planning Steps</w:t>
            </w:r>
          </w:p>
          <w:p w14:paraId="18FC49D1" w14:textId="77777777" w:rsidR="000951A3" w:rsidRDefault="000951A3" w:rsidP="008A3E7E">
            <w:pPr>
              <w:tabs>
                <w:tab w:val="center" w:pos="4680"/>
              </w:tabs>
              <w:jc w:val="center"/>
              <w:rPr>
                <w:b/>
              </w:rPr>
            </w:pPr>
          </w:p>
          <w:p w14:paraId="1022359F" w14:textId="3C7C5A5B" w:rsidR="000951A3" w:rsidRPr="000951A3" w:rsidRDefault="000951A3" w:rsidP="000951A3">
            <w:pPr>
              <w:tabs>
                <w:tab w:val="center" w:pos="4680"/>
              </w:tabs>
              <w:rPr>
                <w:b/>
              </w:rPr>
            </w:pPr>
            <w:r w:rsidRPr="00146B66">
              <w:rPr>
                <w:iCs/>
              </w:rPr>
              <w:t xml:space="preserve">This </w:t>
            </w:r>
            <w:r>
              <w:rPr>
                <w:iCs/>
              </w:rPr>
              <w:t>presentation</w:t>
            </w:r>
            <w:r w:rsidRPr="00146B66">
              <w:rPr>
                <w:iCs/>
              </w:rPr>
              <w:t xml:space="preserve"> will provide an overview of </w:t>
            </w:r>
            <w:r>
              <w:rPr>
                <w:iCs/>
              </w:rPr>
              <w:t xml:space="preserve">the </w:t>
            </w:r>
            <w:r w:rsidRPr="00146B66">
              <w:rPr>
                <w:iCs/>
              </w:rPr>
              <w:t>proposed tax law changes and the potential impact on your clients. It will provide a variety of steps that can be taken prior to year-end to preserve flexibility and prevent unexpected tax consequences.</w:t>
            </w:r>
          </w:p>
        </w:tc>
      </w:tr>
    </w:tbl>
    <w:p w14:paraId="63360848" w14:textId="46EF4DB7" w:rsidR="00A35B4E" w:rsidRDefault="00A35B4E" w:rsidP="00A773E3">
      <w:pPr>
        <w:tabs>
          <w:tab w:val="center" w:pos="4680"/>
        </w:tabs>
        <w:rPr>
          <w:b/>
        </w:rPr>
      </w:pPr>
    </w:p>
    <w:p w14:paraId="2AE8A1A7" w14:textId="77777777" w:rsidR="00FC7C39" w:rsidRDefault="00FC7C39" w:rsidP="00FC7C39">
      <w:pPr>
        <w:tabs>
          <w:tab w:val="left" w:pos="720"/>
        </w:tabs>
        <w:jc w:val="both"/>
        <w:rPr>
          <w:b/>
        </w:rPr>
      </w:pPr>
    </w:p>
    <w:p w14:paraId="398E41EF" w14:textId="77777777" w:rsidR="00FC7C39" w:rsidRDefault="00FC7C39" w:rsidP="00FC7C39">
      <w:pPr>
        <w:tabs>
          <w:tab w:val="left" w:pos="720"/>
        </w:tabs>
        <w:jc w:val="both"/>
        <w:rPr>
          <w:b/>
        </w:rPr>
      </w:pPr>
    </w:p>
    <w:p w14:paraId="2184457E" w14:textId="77777777" w:rsidR="00FC7C39" w:rsidRPr="00FC7C39" w:rsidRDefault="00FC7C39" w:rsidP="00FC7C39">
      <w:pPr>
        <w:tabs>
          <w:tab w:val="left" w:pos="720"/>
        </w:tabs>
        <w:jc w:val="both"/>
        <w:rPr>
          <w:b/>
        </w:rPr>
      </w:pPr>
    </w:p>
    <w:sectPr w:rsidR="00FC7C39" w:rsidRPr="00FC7C39">
      <w:head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6F01C" w14:textId="77777777" w:rsidR="007408CE" w:rsidRDefault="007408CE">
      <w:r>
        <w:separator/>
      </w:r>
    </w:p>
  </w:endnote>
  <w:endnote w:type="continuationSeparator" w:id="0">
    <w:p w14:paraId="4FA6D2A1" w14:textId="77777777" w:rsidR="007408CE" w:rsidRDefault="0074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1D361" w14:textId="77777777" w:rsidR="007408CE" w:rsidRDefault="007408CE">
      <w:r>
        <w:separator/>
      </w:r>
    </w:p>
  </w:footnote>
  <w:footnote w:type="continuationSeparator" w:id="0">
    <w:p w14:paraId="26A69E90" w14:textId="77777777" w:rsidR="007408CE" w:rsidRDefault="00740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FECB2" w14:textId="77777777" w:rsidR="008A3E7E" w:rsidRPr="00B1245D" w:rsidRDefault="008A3E7E" w:rsidP="008A3E7E">
    <w:pPr>
      <w:pStyle w:val="Caption"/>
      <w:rPr>
        <w:rFonts w:ascii="Times New Roman" w:hAnsi="Times New Roman"/>
        <w:b/>
        <w:bCs/>
        <w:smallCaps/>
        <w:sz w:val="32"/>
        <w:szCs w:val="32"/>
      </w:rPr>
    </w:pPr>
    <w:r w:rsidRPr="00B1245D">
      <w:rPr>
        <w:rFonts w:ascii="Times New Roman" w:hAnsi="Times New Roman"/>
        <w:b/>
        <w:bCs/>
        <w:smallCaps/>
        <w:sz w:val="32"/>
        <w:szCs w:val="32"/>
      </w:rPr>
      <w:t>Michael Charles Burns</w:t>
    </w:r>
    <w:r>
      <w:rPr>
        <w:rFonts w:ascii="Times New Roman" w:hAnsi="Times New Roman"/>
        <w:b/>
        <w:bCs/>
        <w:smallCaps/>
        <w:sz w:val="32"/>
        <w:szCs w:val="32"/>
      </w:rPr>
      <w:t>, j.d., ll.m.</w:t>
    </w:r>
  </w:p>
  <w:p w14:paraId="52B853A9" w14:textId="77777777" w:rsidR="008A3E7E" w:rsidRPr="009A0196" w:rsidRDefault="008A3E7E" w:rsidP="008A3E7E">
    <w:pPr>
      <w:pBdr>
        <w:bottom w:val="single" w:sz="12" w:space="1" w:color="auto"/>
      </w:pBdr>
      <w:ind w:left="360" w:hanging="360"/>
      <w:jc w:val="center"/>
      <w:rPr>
        <w:spacing w:val="6"/>
        <w:sz w:val="22"/>
        <w:szCs w:val="22"/>
      </w:rPr>
    </w:pPr>
    <w:r>
      <w:rPr>
        <w:spacing w:val="6"/>
        <w:sz w:val="22"/>
        <w:szCs w:val="22"/>
      </w:rPr>
      <w:t>647 Mimosa Blvd., Roswell, GA 30075</w:t>
    </w:r>
    <w:r w:rsidRPr="009A0196">
      <w:rPr>
        <w:spacing w:val="6"/>
        <w:sz w:val="22"/>
        <w:szCs w:val="22"/>
      </w:rPr>
      <w:t xml:space="preserve"> • </w:t>
    </w:r>
    <w:r>
      <w:rPr>
        <w:spacing w:val="6"/>
        <w:sz w:val="22"/>
        <w:szCs w:val="22"/>
      </w:rPr>
      <w:t>770-640-1101</w:t>
    </w:r>
    <w:r w:rsidRPr="009A0196">
      <w:rPr>
        <w:spacing w:val="6"/>
        <w:sz w:val="22"/>
        <w:szCs w:val="22"/>
      </w:rPr>
      <w:t xml:space="preserve"> • </w:t>
    </w:r>
    <w:r>
      <w:rPr>
        <w:spacing w:val="6"/>
        <w:sz w:val="22"/>
        <w:szCs w:val="22"/>
      </w:rPr>
      <w:t>M.Burns@Scrogginlaw.com</w:t>
    </w:r>
  </w:p>
  <w:p w14:paraId="2DCDC0DE" w14:textId="7F187AF1" w:rsidR="008A3E7E" w:rsidRDefault="008A3E7E">
    <w:pPr>
      <w:pStyle w:val="Header"/>
    </w:pPr>
  </w:p>
  <w:p w14:paraId="693161D0" w14:textId="268268EB" w:rsidR="008A3E7E" w:rsidRDefault="008A3E7E">
    <w:pPr>
      <w:pStyle w:val="Header"/>
    </w:pPr>
  </w:p>
  <w:p w14:paraId="73FFB89D" w14:textId="77777777" w:rsidR="008A3E7E" w:rsidRDefault="008A3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BAA233F"/>
    <w:multiLevelType w:val="hybridMultilevel"/>
    <w:tmpl w:val="0196559C"/>
    <w:lvl w:ilvl="0" w:tplc="66ECD438">
      <w:start w:val="77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D30E8"/>
    <w:multiLevelType w:val="hybridMultilevel"/>
    <w:tmpl w:val="63EA95AC"/>
    <w:lvl w:ilvl="0" w:tplc="EBD6382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B2C28A5"/>
    <w:multiLevelType w:val="hybridMultilevel"/>
    <w:tmpl w:val="664CCD70"/>
    <w:lvl w:ilvl="0" w:tplc="7A207CB4">
      <w:start w:val="1"/>
      <w:numFmt w:val="decimal"/>
      <w:lvlText w:val="%1."/>
      <w:lvlJc w:val="left"/>
      <w:pPr>
        <w:tabs>
          <w:tab w:val="num" w:pos="1080"/>
        </w:tabs>
        <w:ind w:left="1080" w:hanging="360"/>
      </w:pPr>
      <w:rPr>
        <w:rFonts w:hint="default"/>
      </w:rPr>
    </w:lvl>
    <w:lvl w:ilvl="1" w:tplc="E7B22EBC">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FA24585"/>
    <w:multiLevelType w:val="hybridMultilevel"/>
    <w:tmpl w:val="B01EEFDA"/>
    <w:lvl w:ilvl="0" w:tplc="DDB29182">
      <w:start w:val="1967"/>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9FA660B"/>
    <w:multiLevelType w:val="hybridMultilevel"/>
    <w:tmpl w:val="0E4CEA04"/>
    <w:lvl w:ilvl="0" w:tplc="0252554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79A1918"/>
    <w:multiLevelType w:val="hybridMultilevel"/>
    <w:tmpl w:val="2B2230F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AB"/>
    <w:rsid w:val="00007B5D"/>
    <w:rsid w:val="00053AAB"/>
    <w:rsid w:val="000951A3"/>
    <w:rsid w:val="000A021C"/>
    <w:rsid w:val="000A4A14"/>
    <w:rsid w:val="000C3E7F"/>
    <w:rsid w:val="000C70D6"/>
    <w:rsid w:val="000E7C5D"/>
    <w:rsid w:val="000F14F8"/>
    <w:rsid w:val="001336AA"/>
    <w:rsid w:val="00137395"/>
    <w:rsid w:val="00192C60"/>
    <w:rsid w:val="001B3A1F"/>
    <w:rsid w:val="001C262E"/>
    <w:rsid w:val="001C4644"/>
    <w:rsid w:val="001F5CE6"/>
    <w:rsid w:val="0020258B"/>
    <w:rsid w:val="00233F16"/>
    <w:rsid w:val="0025405F"/>
    <w:rsid w:val="002625EC"/>
    <w:rsid w:val="002A046A"/>
    <w:rsid w:val="002C2FF4"/>
    <w:rsid w:val="002E293B"/>
    <w:rsid w:val="002F71B7"/>
    <w:rsid w:val="003006D0"/>
    <w:rsid w:val="003600B0"/>
    <w:rsid w:val="00375D44"/>
    <w:rsid w:val="00381F03"/>
    <w:rsid w:val="003B4CC4"/>
    <w:rsid w:val="00433482"/>
    <w:rsid w:val="00436A5A"/>
    <w:rsid w:val="004755FA"/>
    <w:rsid w:val="0048676C"/>
    <w:rsid w:val="004969A6"/>
    <w:rsid w:val="004976B0"/>
    <w:rsid w:val="004B0EC9"/>
    <w:rsid w:val="004D7045"/>
    <w:rsid w:val="004E064E"/>
    <w:rsid w:val="00516B38"/>
    <w:rsid w:val="00540465"/>
    <w:rsid w:val="005A4EE7"/>
    <w:rsid w:val="005A58C4"/>
    <w:rsid w:val="005D0CC8"/>
    <w:rsid w:val="00617049"/>
    <w:rsid w:val="00631973"/>
    <w:rsid w:val="006519DB"/>
    <w:rsid w:val="0067124D"/>
    <w:rsid w:val="00684DE0"/>
    <w:rsid w:val="006A2589"/>
    <w:rsid w:val="006F2C04"/>
    <w:rsid w:val="0072573D"/>
    <w:rsid w:val="007408CE"/>
    <w:rsid w:val="0075775C"/>
    <w:rsid w:val="007655DD"/>
    <w:rsid w:val="00767887"/>
    <w:rsid w:val="007705C3"/>
    <w:rsid w:val="00793F61"/>
    <w:rsid w:val="007B5716"/>
    <w:rsid w:val="007F4EC2"/>
    <w:rsid w:val="008120EB"/>
    <w:rsid w:val="008220EB"/>
    <w:rsid w:val="00831136"/>
    <w:rsid w:val="00843FAA"/>
    <w:rsid w:val="008741BE"/>
    <w:rsid w:val="0089616E"/>
    <w:rsid w:val="008A3E7E"/>
    <w:rsid w:val="008A61CD"/>
    <w:rsid w:val="008D406E"/>
    <w:rsid w:val="00907DB5"/>
    <w:rsid w:val="00920693"/>
    <w:rsid w:val="00947FDD"/>
    <w:rsid w:val="0097595A"/>
    <w:rsid w:val="00982755"/>
    <w:rsid w:val="009B0AF5"/>
    <w:rsid w:val="009C5AFC"/>
    <w:rsid w:val="009C60BA"/>
    <w:rsid w:val="009E2721"/>
    <w:rsid w:val="009E7177"/>
    <w:rsid w:val="009F1F59"/>
    <w:rsid w:val="00A13776"/>
    <w:rsid w:val="00A35B4E"/>
    <w:rsid w:val="00A37DD6"/>
    <w:rsid w:val="00A621B8"/>
    <w:rsid w:val="00A62D63"/>
    <w:rsid w:val="00A773E3"/>
    <w:rsid w:val="00AB2B89"/>
    <w:rsid w:val="00AB7A42"/>
    <w:rsid w:val="00AF1E93"/>
    <w:rsid w:val="00B0359D"/>
    <w:rsid w:val="00B05AEA"/>
    <w:rsid w:val="00B166EB"/>
    <w:rsid w:val="00BB6612"/>
    <w:rsid w:val="00BD487F"/>
    <w:rsid w:val="00C076FC"/>
    <w:rsid w:val="00C272D3"/>
    <w:rsid w:val="00C61489"/>
    <w:rsid w:val="00C72A47"/>
    <w:rsid w:val="00C75762"/>
    <w:rsid w:val="00C82C88"/>
    <w:rsid w:val="00CD2964"/>
    <w:rsid w:val="00CE0666"/>
    <w:rsid w:val="00CE3951"/>
    <w:rsid w:val="00CE3AB4"/>
    <w:rsid w:val="00D5675B"/>
    <w:rsid w:val="00D8511F"/>
    <w:rsid w:val="00D916B5"/>
    <w:rsid w:val="00DA7E0D"/>
    <w:rsid w:val="00DC5B76"/>
    <w:rsid w:val="00DD3660"/>
    <w:rsid w:val="00E17A8D"/>
    <w:rsid w:val="00E23BB4"/>
    <w:rsid w:val="00EC0354"/>
    <w:rsid w:val="00EC3705"/>
    <w:rsid w:val="00EE4D85"/>
    <w:rsid w:val="00EF4B8B"/>
    <w:rsid w:val="00F06E4A"/>
    <w:rsid w:val="00F56B7C"/>
    <w:rsid w:val="00F71FB9"/>
    <w:rsid w:val="00FC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4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440" w:hanging="720"/>
      <w:outlineLvl w:val="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sid w:val="00EC0354"/>
    <w:rPr>
      <w:sz w:val="20"/>
      <w:szCs w:val="20"/>
    </w:rPr>
  </w:style>
  <w:style w:type="character" w:customStyle="1" w:styleId="admin">
    <w:name w:val="admin"/>
    <w:semiHidden/>
    <w:rsid w:val="00381F03"/>
    <w:rPr>
      <w:rFonts w:ascii="Arial" w:hAnsi="Arial" w:cs="Arial"/>
      <w:color w:val="auto"/>
      <w:sz w:val="20"/>
      <w:szCs w:val="20"/>
    </w:rPr>
  </w:style>
  <w:style w:type="paragraph" w:styleId="ListParagraph">
    <w:name w:val="List Paragraph"/>
    <w:basedOn w:val="Normal"/>
    <w:uiPriority w:val="34"/>
    <w:qFormat/>
    <w:rsid w:val="00FC7C39"/>
    <w:pPr>
      <w:ind w:left="720"/>
      <w:contextualSpacing/>
    </w:pPr>
  </w:style>
  <w:style w:type="table" w:styleId="TableGrid">
    <w:name w:val="Table Grid"/>
    <w:basedOn w:val="TableNormal"/>
    <w:rsid w:val="00A77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8A3E7E"/>
    <w:pPr>
      <w:widowControl/>
      <w:autoSpaceDE/>
      <w:autoSpaceDN/>
      <w:adjustRightInd/>
      <w:jc w:val="center"/>
    </w:pPr>
    <w:rPr>
      <w:rFonts w:ascii="Garamond" w:hAnsi="Garamond"/>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440" w:hanging="720"/>
      <w:outlineLvl w:val="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sid w:val="00EC0354"/>
    <w:rPr>
      <w:sz w:val="20"/>
      <w:szCs w:val="20"/>
    </w:rPr>
  </w:style>
  <w:style w:type="character" w:customStyle="1" w:styleId="admin">
    <w:name w:val="admin"/>
    <w:semiHidden/>
    <w:rsid w:val="00381F03"/>
    <w:rPr>
      <w:rFonts w:ascii="Arial" w:hAnsi="Arial" w:cs="Arial"/>
      <w:color w:val="auto"/>
      <w:sz w:val="20"/>
      <w:szCs w:val="20"/>
    </w:rPr>
  </w:style>
  <w:style w:type="paragraph" w:styleId="ListParagraph">
    <w:name w:val="List Paragraph"/>
    <w:basedOn w:val="Normal"/>
    <w:uiPriority w:val="34"/>
    <w:qFormat/>
    <w:rsid w:val="00FC7C39"/>
    <w:pPr>
      <w:ind w:left="720"/>
      <w:contextualSpacing/>
    </w:pPr>
  </w:style>
  <w:style w:type="table" w:styleId="TableGrid">
    <w:name w:val="Table Grid"/>
    <w:basedOn w:val="TableNormal"/>
    <w:rsid w:val="00A77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8A3E7E"/>
    <w:pPr>
      <w:widowControl/>
      <w:autoSpaceDE/>
      <w:autoSpaceDN/>
      <w:adjustRightInd/>
      <w:jc w:val="center"/>
    </w:pPr>
    <w:rPr>
      <w:rFonts w:ascii="Garamond" w:hAnsi="Garamond"/>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9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77FA7-882E-4663-9570-EB8E82661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Burns</dc:creator>
  <cp:lastModifiedBy>Cat Cabin</cp:lastModifiedBy>
  <cp:revision>2</cp:revision>
  <cp:lastPrinted>2015-06-02T21:06:00Z</cp:lastPrinted>
  <dcterms:created xsi:type="dcterms:W3CDTF">2021-11-04T18:55:00Z</dcterms:created>
  <dcterms:modified xsi:type="dcterms:W3CDTF">2021-11-04T18:55:00Z</dcterms:modified>
</cp:coreProperties>
</file>